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B" w:rsidRDefault="0082494B" w:rsidP="0082494B">
      <w:pPr>
        <w:pStyle w:val="2"/>
        <w:jc w:val="center"/>
      </w:pPr>
      <w:r>
        <w:rPr>
          <w:i w:val="0"/>
          <w:iCs w:val="0"/>
          <w:caps/>
        </w:rPr>
        <w:t xml:space="preserve">Договор публичной оферты </w:t>
      </w:r>
    </w:p>
    <w:p w:rsidR="0082494B" w:rsidRDefault="0082494B" w:rsidP="0082494B">
      <w:pPr>
        <w:pStyle w:val="2"/>
        <w:spacing w:before="120"/>
        <w:jc w:val="center"/>
      </w:pPr>
      <w:r>
        <w:rPr>
          <w:b w:val="0"/>
          <w:bCs w:val="0"/>
          <w:i w:val="0"/>
          <w:iCs w:val="0"/>
          <w:caps/>
        </w:rPr>
        <w:t>№</w:t>
      </w:r>
      <w:r w:rsidR="00225CA9">
        <w:rPr>
          <w:b w:val="0"/>
          <w:bCs w:val="0"/>
          <w:i w:val="0"/>
          <w:iCs w:val="0"/>
          <w:caps/>
          <w:lang w:val="en-US"/>
        </w:rPr>
        <w:t>0</w:t>
      </w:r>
      <w:r>
        <w:rPr>
          <w:b w:val="0"/>
          <w:bCs w:val="0"/>
          <w:i w:val="0"/>
          <w:iCs w:val="0"/>
          <w:caps/>
        </w:rPr>
        <w:t>1/20</w:t>
      </w:r>
      <w:r w:rsidR="00225CA9">
        <w:rPr>
          <w:b w:val="0"/>
          <w:bCs w:val="0"/>
          <w:i w:val="0"/>
          <w:iCs w:val="0"/>
          <w:caps/>
          <w:lang w:val="en-US"/>
        </w:rPr>
        <w:t>14</w:t>
      </w:r>
      <w:r>
        <w:rPr>
          <w:b w:val="0"/>
          <w:bCs w:val="0"/>
          <w:i w:val="0"/>
          <w:iCs w:val="0"/>
          <w:caps/>
        </w:rPr>
        <w:t xml:space="preserve"> </w:t>
      </w:r>
      <w:r w:rsidR="00225CA9">
        <w:rPr>
          <w:b w:val="0"/>
          <w:bCs w:val="0"/>
          <w:i w:val="0"/>
          <w:iCs w:val="0"/>
          <w:lang w:val="en-US"/>
        </w:rPr>
        <w:t>21</w:t>
      </w:r>
      <w:r>
        <w:rPr>
          <w:b w:val="0"/>
          <w:bCs w:val="0"/>
          <w:i w:val="0"/>
          <w:iCs w:val="0"/>
        </w:rPr>
        <w:t xml:space="preserve"> </w:t>
      </w:r>
      <w:r w:rsidR="00225CA9">
        <w:rPr>
          <w:b w:val="0"/>
          <w:bCs w:val="0"/>
          <w:i w:val="0"/>
          <w:iCs w:val="0"/>
        </w:rPr>
        <w:t>января</w:t>
      </w:r>
      <w:r>
        <w:rPr>
          <w:b w:val="0"/>
          <w:bCs w:val="0"/>
          <w:i w:val="0"/>
          <w:iCs w:val="0"/>
        </w:rPr>
        <w:t xml:space="preserve"> 20</w:t>
      </w:r>
      <w:r w:rsidR="00225CA9">
        <w:rPr>
          <w:b w:val="0"/>
          <w:bCs w:val="0"/>
          <w:i w:val="0"/>
          <w:iCs w:val="0"/>
        </w:rPr>
        <w:t>14</w:t>
      </w:r>
      <w:r>
        <w:rPr>
          <w:b w:val="0"/>
          <w:bCs w:val="0"/>
          <w:i w:val="0"/>
          <w:iCs w:val="0"/>
        </w:rPr>
        <w:t>г.</w:t>
      </w:r>
    </w:p>
    <w:p w:rsidR="00864D39" w:rsidRDefault="00225CA9" w:rsidP="0082494B">
      <w:pPr>
        <w:spacing w:before="100" w:beforeAutospacing="1" w:after="100" w:afterAutospacing="1"/>
        <w:ind w:firstLine="709"/>
        <w:jc w:val="both"/>
        <w:rPr>
          <w:rFonts w:ascii="Verdana" w:hAnsi="Verdana"/>
          <w:sz w:val="15"/>
          <w:szCs w:val="15"/>
        </w:rPr>
      </w:pPr>
      <w:r w:rsidRPr="00225CA9">
        <w:rPr>
          <w:rFonts w:ascii="Verdana" w:hAnsi="Verdana"/>
          <w:spacing w:val="-8"/>
          <w:sz w:val="15"/>
          <w:szCs w:val="15"/>
        </w:rPr>
        <w:t xml:space="preserve">Общество с ограниченной ответственностью «Лидер Дверной» </w:t>
      </w:r>
      <w:r w:rsidRPr="00225CA9">
        <w:rPr>
          <w:rFonts w:ascii="Verdana" w:hAnsi="Verdana"/>
          <w:spacing w:val="2"/>
          <w:sz w:val="15"/>
          <w:szCs w:val="15"/>
        </w:rPr>
        <w:t>(именуемое в дальнейшем «Поставщик») в лице Генерального Директора Посох Оксаны Александровны</w:t>
      </w:r>
      <w:r w:rsidRPr="00225CA9">
        <w:rPr>
          <w:rFonts w:ascii="Verdana" w:hAnsi="Verdana"/>
          <w:sz w:val="15"/>
          <w:szCs w:val="15"/>
        </w:rPr>
        <w:t>, действующей на основании Устава</w:t>
      </w:r>
      <w:r>
        <w:rPr>
          <w:rFonts w:ascii="Verdana" w:hAnsi="Verdana"/>
          <w:sz w:val="15"/>
          <w:szCs w:val="15"/>
        </w:rPr>
        <w:t>,</w:t>
      </w:r>
      <w:r w:rsidRPr="00225CA9">
        <w:rPr>
          <w:rFonts w:ascii="Verdana" w:hAnsi="Verdana"/>
          <w:sz w:val="15"/>
          <w:szCs w:val="15"/>
        </w:rPr>
        <w:t xml:space="preserve"> </w:t>
      </w:r>
      <w:r w:rsidR="0082494B" w:rsidRPr="00225CA9">
        <w:rPr>
          <w:rFonts w:ascii="Verdana" w:hAnsi="Verdana"/>
          <w:sz w:val="15"/>
          <w:szCs w:val="15"/>
        </w:rPr>
        <w:t xml:space="preserve">предоставляет услуги </w:t>
      </w:r>
      <w:r>
        <w:rPr>
          <w:rFonts w:ascii="Verdana" w:hAnsi="Verdana"/>
          <w:sz w:val="15"/>
          <w:szCs w:val="15"/>
        </w:rPr>
        <w:t>по передач</w:t>
      </w:r>
      <w:r w:rsidR="00F34F4B">
        <w:rPr>
          <w:rFonts w:ascii="Verdana" w:hAnsi="Verdana"/>
          <w:sz w:val="15"/>
          <w:szCs w:val="15"/>
        </w:rPr>
        <w:t>е</w:t>
      </w:r>
      <w:r>
        <w:rPr>
          <w:rFonts w:ascii="Verdana" w:hAnsi="Verdana"/>
          <w:sz w:val="15"/>
          <w:szCs w:val="15"/>
        </w:rPr>
        <w:t xml:space="preserve"> в собственность входных и межкомнатных дверей </w:t>
      </w:r>
      <w:r w:rsidR="0082494B" w:rsidRPr="00225CA9">
        <w:rPr>
          <w:rFonts w:ascii="Verdana" w:hAnsi="Verdana"/>
          <w:sz w:val="15"/>
          <w:szCs w:val="15"/>
        </w:rPr>
        <w:t xml:space="preserve">(далее </w:t>
      </w:r>
      <w:r w:rsidR="002F5AB8">
        <w:rPr>
          <w:rFonts w:ascii="Verdana" w:hAnsi="Verdana"/>
          <w:sz w:val="15"/>
          <w:szCs w:val="15"/>
        </w:rPr>
        <w:t>Товар</w:t>
      </w:r>
      <w:r w:rsidR="0082494B" w:rsidRPr="00225CA9">
        <w:rPr>
          <w:rFonts w:ascii="Verdana" w:hAnsi="Verdana"/>
          <w:sz w:val="15"/>
          <w:szCs w:val="15"/>
        </w:rPr>
        <w:t>) любому юридическому или физическому лицу, именуемому в дальнейшем "</w:t>
      </w:r>
      <w:r w:rsidR="0082494B" w:rsidRPr="00225CA9">
        <w:rPr>
          <w:rFonts w:ascii="Verdana" w:hAnsi="Verdana"/>
          <w:b/>
          <w:bCs/>
          <w:sz w:val="15"/>
          <w:szCs w:val="15"/>
        </w:rPr>
        <w:t>Заказчик</w:t>
      </w:r>
      <w:r w:rsidR="0082494B" w:rsidRPr="00225CA9">
        <w:rPr>
          <w:rFonts w:ascii="Verdana" w:hAnsi="Verdana"/>
          <w:sz w:val="15"/>
          <w:szCs w:val="15"/>
        </w:rPr>
        <w:t>", принявшему данный Договор публичной оферты. Данный договор публичной оферты размещен в сети Интернет для свободного ознакомления всеми пользователями на сайтах Исполнителя</w:t>
      </w:r>
      <w:r w:rsidR="00864D39">
        <w:rPr>
          <w:rFonts w:ascii="Verdana" w:hAnsi="Verdana"/>
          <w:sz w:val="15"/>
          <w:szCs w:val="15"/>
        </w:rPr>
        <w:t>.</w:t>
      </w:r>
    </w:p>
    <w:p w:rsidR="0082494B" w:rsidRDefault="0082494B" w:rsidP="0082494B">
      <w:pPr>
        <w:spacing w:before="100" w:beforeAutospacing="1" w:after="100" w:afterAutospacing="1"/>
        <w:ind w:firstLine="709"/>
        <w:jc w:val="both"/>
      </w:pPr>
      <w:r>
        <w:rPr>
          <w:rFonts w:ascii="Verdana" w:hAnsi="Verdana"/>
          <w:b/>
          <w:bCs/>
          <w:color w:val="800000"/>
          <w:sz w:val="15"/>
          <w:szCs w:val="15"/>
        </w:rPr>
        <w:t xml:space="preserve">В соответствии с пунктом 3 статьи 438 Гражданского Кодекса Российской Федерации (ГК РФ) безусловным принятием (акцептом) условий настоящего Договора публичной оферты (далее Договора) считается осуществление Заказчиком платежа в счет оплаты </w:t>
      </w:r>
      <w:r w:rsidR="00864D39">
        <w:rPr>
          <w:rFonts w:ascii="Verdana" w:hAnsi="Verdana"/>
          <w:b/>
          <w:bCs/>
          <w:color w:val="800000"/>
          <w:sz w:val="15"/>
          <w:szCs w:val="15"/>
        </w:rPr>
        <w:t>Товара</w:t>
      </w:r>
      <w:r>
        <w:rPr>
          <w:rFonts w:ascii="Verdana" w:hAnsi="Verdana"/>
          <w:b/>
          <w:bCs/>
          <w:color w:val="800000"/>
          <w:sz w:val="15"/>
          <w:szCs w:val="15"/>
        </w:rPr>
        <w:t xml:space="preserve"> и получение им соответствующего финансового документа подтверждающего факт оплаты.</w:t>
      </w:r>
    </w:p>
    <w:p w:rsidR="0082494B" w:rsidRDefault="0082494B" w:rsidP="0082494B">
      <w:pPr>
        <w:pStyle w:val="3"/>
        <w:jc w:val="center"/>
      </w:pPr>
      <w:r>
        <w:rPr>
          <w:caps/>
        </w:rPr>
        <w:t>I. Предмет договора</w:t>
      </w:r>
    </w:p>
    <w:p w:rsidR="0082494B" w:rsidRDefault="0082494B" w:rsidP="0082494B">
      <w:pPr>
        <w:spacing w:before="100" w:beforeAutospacing="1" w:after="100" w:afterAutospacing="1"/>
        <w:ind w:left="480" w:hanging="480"/>
        <w:jc w:val="both"/>
      </w:pPr>
      <w:r>
        <w:rPr>
          <w:rFonts w:ascii="Verdana" w:hAnsi="Verdana"/>
          <w:sz w:val="15"/>
          <w:szCs w:val="15"/>
        </w:rPr>
        <w:t xml:space="preserve">1.1.    </w:t>
      </w:r>
      <w:r w:rsidR="00107A1A">
        <w:rPr>
          <w:rFonts w:ascii="Verdana" w:hAnsi="Verdana"/>
          <w:sz w:val="15"/>
          <w:szCs w:val="15"/>
        </w:rPr>
        <w:t>Поставщик</w:t>
      </w:r>
      <w:r>
        <w:rPr>
          <w:rFonts w:ascii="Verdana" w:hAnsi="Verdana"/>
          <w:sz w:val="15"/>
          <w:szCs w:val="15"/>
        </w:rPr>
        <w:t xml:space="preserve"> обязуется предоставить </w:t>
      </w:r>
      <w:r w:rsidR="002F5AB8">
        <w:rPr>
          <w:rFonts w:ascii="Verdana" w:hAnsi="Verdana"/>
          <w:sz w:val="15"/>
          <w:szCs w:val="15"/>
        </w:rPr>
        <w:t>Товар, описанный</w:t>
      </w:r>
      <w:r>
        <w:rPr>
          <w:rFonts w:ascii="Verdana" w:hAnsi="Verdana"/>
          <w:sz w:val="15"/>
          <w:szCs w:val="15"/>
        </w:rPr>
        <w:t xml:space="preserve"> в выставляемом Заказчику счете или предоставленной квитанции для оплаты.</w:t>
      </w:r>
    </w:p>
    <w:p w:rsidR="0082494B" w:rsidRDefault="0082494B" w:rsidP="0082494B">
      <w:pPr>
        <w:pStyle w:val="3"/>
        <w:jc w:val="center"/>
      </w:pPr>
      <w:r>
        <w:rPr>
          <w:caps/>
        </w:rPr>
        <w:t>II. Стоимость услуг, условия поставки и расчета</w:t>
      </w:r>
    </w:p>
    <w:p w:rsidR="00225CA9" w:rsidRDefault="0082494B" w:rsidP="0082494B">
      <w:pPr>
        <w:spacing w:before="100" w:beforeAutospacing="1" w:after="100" w:afterAutospacing="1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2.1. Перечень и стоимость </w:t>
      </w:r>
      <w:r w:rsidR="002F5AB8">
        <w:rPr>
          <w:rFonts w:ascii="Verdana" w:hAnsi="Verdana"/>
          <w:sz w:val="15"/>
          <w:szCs w:val="15"/>
        </w:rPr>
        <w:t>Товаров</w:t>
      </w:r>
      <w:r>
        <w:rPr>
          <w:rFonts w:ascii="Verdana" w:hAnsi="Verdana"/>
          <w:sz w:val="15"/>
          <w:szCs w:val="15"/>
        </w:rPr>
        <w:t xml:space="preserve">, </w:t>
      </w:r>
      <w:r w:rsidR="002F5AB8">
        <w:rPr>
          <w:rFonts w:ascii="Verdana" w:hAnsi="Verdana"/>
          <w:sz w:val="15"/>
          <w:szCs w:val="15"/>
        </w:rPr>
        <w:t>предоставляемых</w:t>
      </w:r>
      <w:r>
        <w:rPr>
          <w:rFonts w:ascii="Verdana" w:hAnsi="Verdana"/>
          <w:sz w:val="15"/>
          <w:szCs w:val="15"/>
        </w:rPr>
        <w:t xml:space="preserve"> </w:t>
      </w:r>
      <w:r w:rsidR="00864D39">
        <w:rPr>
          <w:rFonts w:ascii="Verdana" w:hAnsi="Verdana"/>
          <w:sz w:val="15"/>
          <w:szCs w:val="15"/>
        </w:rPr>
        <w:t>Поставщиком</w:t>
      </w:r>
      <w:r>
        <w:rPr>
          <w:rFonts w:ascii="Verdana" w:hAnsi="Verdana"/>
          <w:sz w:val="15"/>
          <w:szCs w:val="15"/>
        </w:rPr>
        <w:t xml:space="preserve"> по настоящему Договору, указывается в счете или квитанции, направленных Заказчику. </w:t>
      </w:r>
    </w:p>
    <w:p w:rsidR="0082494B" w:rsidRDefault="0082494B" w:rsidP="0082494B">
      <w:pPr>
        <w:spacing w:before="100" w:beforeAutospacing="1" w:after="100" w:afterAutospacing="1"/>
        <w:jc w:val="both"/>
      </w:pPr>
      <w:r>
        <w:rPr>
          <w:rFonts w:ascii="Verdana" w:hAnsi="Verdana"/>
          <w:sz w:val="15"/>
          <w:szCs w:val="15"/>
        </w:rPr>
        <w:t xml:space="preserve">2.2. </w:t>
      </w:r>
      <w:hyperlink r:id="rId7" w:history="1">
        <w:r w:rsidRPr="002F5AB8">
          <w:rPr>
            <w:rStyle w:val="a3"/>
            <w:rFonts w:ascii="Verdana" w:hAnsi="Verdana"/>
            <w:color w:val="auto"/>
            <w:sz w:val="15"/>
            <w:szCs w:val="15"/>
            <w:u w:val="none"/>
          </w:rPr>
          <w:t>Оплата</w:t>
        </w:r>
      </w:hyperlink>
      <w:r>
        <w:rPr>
          <w:rFonts w:ascii="Verdana" w:hAnsi="Verdana"/>
          <w:sz w:val="15"/>
          <w:szCs w:val="15"/>
        </w:rPr>
        <w:t xml:space="preserve"> </w:t>
      </w:r>
      <w:r w:rsidR="002F5AB8">
        <w:rPr>
          <w:rFonts w:ascii="Verdana" w:hAnsi="Verdana"/>
          <w:sz w:val="15"/>
          <w:szCs w:val="15"/>
        </w:rPr>
        <w:t>Товара</w:t>
      </w:r>
      <w:r>
        <w:rPr>
          <w:rFonts w:ascii="Verdana" w:hAnsi="Verdana"/>
          <w:sz w:val="15"/>
          <w:szCs w:val="15"/>
        </w:rPr>
        <w:t xml:space="preserve"> осуществляется Заказчиком путем внесения 100%</w:t>
      </w:r>
      <w:r w:rsidR="00225CA9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предоплаты по безналичному или наличному расчету на расчетный счет </w:t>
      </w:r>
      <w:r w:rsidR="00864D39">
        <w:rPr>
          <w:rFonts w:ascii="Verdana" w:hAnsi="Verdana"/>
          <w:sz w:val="15"/>
          <w:szCs w:val="15"/>
        </w:rPr>
        <w:t>Поставщика,</w:t>
      </w:r>
      <w:r>
        <w:rPr>
          <w:rFonts w:ascii="Verdana" w:hAnsi="Verdana"/>
          <w:sz w:val="15"/>
          <w:szCs w:val="15"/>
        </w:rPr>
        <w:t xml:space="preserve"> или в кассу </w:t>
      </w:r>
      <w:r w:rsidR="00864D39">
        <w:rPr>
          <w:rFonts w:ascii="Verdana" w:hAnsi="Verdana"/>
          <w:sz w:val="15"/>
          <w:szCs w:val="15"/>
        </w:rPr>
        <w:t>Поставщика,</w:t>
      </w:r>
      <w:r>
        <w:rPr>
          <w:rFonts w:ascii="Verdana" w:hAnsi="Verdana"/>
          <w:sz w:val="15"/>
          <w:szCs w:val="15"/>
        </w:rPr>
        <w:t xml:space="preserve"> согласно выставленного </w:t>
      </w:r>
      <w:r w:rsidR="00864D39">
        <w:rPr>
          <w:rFonts w:ascii="Verdana" w:hAnsi="Verdana"/>
          <w:sz w:val="15"/>
          <w:szCs w:val="15"/>
        </w:rPr>
        <w:t>Поставщиком</w:t>
      </w:r>
      <w:r>
        <w:rPr>
          <w:rFonts w:ascii="Verdana" w:hAnsi="Verdana"/>
          <w:sz w:val="15"/>
          <w:szCs w:val="15"/>
        </w:rPr>
        <w:t xml:space="preserve"> счета</w:t>
      </w:r>
      <w:r w:rsidR="00864D39">
        <w:rPr>
          <w:rFonts w:ascii="Verdana" w:hAnsi="Verdana"/>
          <w:sz w:val="15"/>
          <w:szCs w:val="15"/>
        </w:rPr>
        <w:t>,</w:t>
      </w:r>
      <w:r>
        <w:rPr>
          <w:rFonts w:ascii="Verdana" w:hAnsi="Verdana"/>
          <w:sz w:val="15"/>
          <w:szCs w:val="15"/>
        </w:rPr>
        <w:t xml:space="preserve"> или оформленной квитанции для оплаты.</w:t>
      </w:r>
    </w:p>
    <w:p w:rsidR="0082494B" w:rsidRDefault="0082494B" w:rsidP="0082494B">
      <w:pPr>
        <w:spacing w:before="100" w:beforeAutospacing="1" w:after="100" w:afterAutospacing="1"/>
        <w:jc w:val="both"/>
      </w:pPr>
      <w:r>
        <w:rPr>
          <w:rFonts w:ascii="Verdana" w:hAnsi="Verdana"/>
          <w:sz w:val="15"/>
          <w:szCs w:val="15"/>
        </w:rPr>
        <w:t xml:space="preserve">2.3. </w:t>
      </w:r>
      <w:r w:rsidR="00864D39">
        <w:rPr>
          <w:rFonts w:ascii="Verdana" w:hAnsi="Verdana"/>
          <w:sz w:val="15"/>
          <w:szCs w:val="15"/>
        </w:rPr>
        <w:t>Поставщик</w:t>
      </w:r>
      <w:r>
        <w:rPr>
          <w:rFonts w:ascii="Verdana" w:hAnsi="Verdana"/>
          <w:sz w:val="15"/>
          <w:szCs w:val="15"/>
        </w:rPr>
        <w:t xml:space="preserve"> вправе в одностороннем порядке пересматривать цены на </w:t>
      </w:r>
      <w:r w:rsidR="002F5AB8">
        <w:rPr>
          <w:rFonts w:ascii="Verdana" w:hAnsi="Verdana"/>
          <w:sz w:val="15"/>
          <w:szCs w:val="15"/>
        </w:rPr>
        <w:t>Товар</w:t>
      </w:r>
      <w:r>
        <w:rPr>
          <w:rFonts w:ascii="Verdana" w:hAnsi="Verdana"/>
          <w:sz w:val="15"/>
          <w:szCs w:val="15"/>
        </w:rPr>
        <w:t>.</w:t>
      </w:r>
    </w:p>
    <w:p w:rsidR="002F5AB8" w:rsidRDefault="0082494B" w:rsidP="0082494B">
      <w:pPr>
        <w:spacing w:before="100" w:beforeAutospacing="1" w:after="100" w:afterAutospacing="1"/>
        <w:jc w:val="both"/>
      </w:pPr>
      <w:r>
        <w:rPr>
          <w:rFonts w:ascii="Verdana" w:hAnsi="Verdana"/>
          <w:sz w:val="15"/>
          <w:szCs w:val="15"/>
        </w:rPr>
        <w:t xml:space="preserve">Изменения в прейскуранте цен вступают в силу с момента их опубликования на веб-сайтах </w:t>
      </w:r>
      <w:r w:rsidR="00864D39">
        <w:rPr>
          <w:rFonts w:ascii="Verdana" w:hAnsi="Verdana"/>
          <w:sz w:val="15"/>
          <w:szCs w:val="15"/>
        </w:rPr>
        <w:t>Поставщика</w:t>
      </w:r>
      <w:r w:rsidR="002F5AB8">
        <w:rPr>
          <w:rFonts w:ascii="Verdana" w:hAnsi="Verdana"/>
          <w:sz w:val="15"/>
          <w:szCs w:val="15"/>
        </w:rPr>
        <w:t>.</w:t>
      </w:r>
    </w:p>
    <w:p w:rsidR="0082494B" w:rsidRDefault="0082494B" w:rsidP="0082494B">
      <w:pPr>
        <w:spacing w:before="100" w:beforeAutospacing="1" w:after="100" w:afterAutospacing="1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2.5. Расценки на дополнительные услуги оговариваются в дополнительных приложениях к Договору или отдельными соглашениями.</w:t>
      </w:r>
    </w:p>
    <w:p w:rsidR="002F5AB8" w:rsidRDefault="002F5AB8" w:rsidP="0082494B">
      <w:pPr>
        <w:spacing w:before="100" w:beforeAutospacing="1" w:after="100" w:afterAutospacing="1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2.6. В случае приобретения Товара для последующей его реализации, Заказчик обязуется назначить на него цену не ниже рекомендованной цены Поставщика.</w:t>
      </w:r>
    </w:p>
    <w:p w:rsidR="002F5AB8" w:rsidRDefault="002F5AB8" w:rsidP="0082494B">
      <w:pPr>
        <w:spacing w:before="100" w:beforeAutospacing="1" w:after="100" w:afterAutospacing="1"/>
        <w:jc w:val="both"/>
      </w:pPr>
      <w:r>
        <w:rPr>
          <w:rFonts w:ascii="Verdana" w:hAnsi="Verdana"/>
          <w:sz w:val="15"/>
          <w:szCs w:val="15"/>
        </w:rPr>
        <w:t>2.7. Рекомендованная цена Поставщика – это цена  опубликованная на</w:t>
      </w:r>
      <w:r w:rsidR="00864D39">
        <w:rPr>
          <w:rFonts w:ascii="Verdana" w:hAnsi="Verdana"/>
          <w:sz w:val="15"/>
          <w:szCs w:val="15"/>
        </w:rPr>
        <w:t xml:space="preserve"> веб-</w:t>
      </w:r>
      <w:r>
        <w:rPr>
          <w:rFonts w:ascii="Verdana" w:hAnsi="Verdana"/>
          <w:sz w:val="15"/>
          <w:szCs w:val="15"/>
        </w:rPr>
        <w:t>сайте Поставщика.</w:t>
      </w:r>
    </w:p>
    <w:p w:rsidR="0082494B" w:rsidRDefault="0082494B" w:rsidP="0082494B">
      <w:pPr>
        <w:pStyle w:val="3"/>
        <w:jc w:val="center"/>
      </w:pPr>
      <w:r>
        <w:rPr>
          <w:caps/>
        </w:rPr>
        <w:t>III. Ответственность сторон</w:t>
      </w:r>
    </w:p>
    <w:p w:rsidR="0082494B" w:rsidRDefault="0082494B" w:rsidP="0082494B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3.1. За ненадлежащее выполнение договорных обязательств или отступление по вине </w:t>
      </w:r>
      <w:r w:rsidR="00864D39">
        <w:rPr>
          <w:rFonts w:ascii="Verdana" w:hAnsi="Verdana"/>
          <w:sz w:val="15"/>
          <w:szCs w:val="15"/>
        </w:rPr>
        <w:t>Поставщика</w:t>
      </w:r>
      <w:r>
        <w:rPr>
          <w:rFonts w:ascii="Verdana" w:hAnsi="Verdana"/>
          <w:sz w:val="15"/>
          <w:szCs w:val="15"/>
        </w:rPr>
        <w:t xml:space="preserve"> или Заказчика от условий Договора</w:t>
      </w:r>
      <w:r w:rsidR="00864D39">
        <w:rPr>
          <w:rFonts w:ascii="Verdana" w:hAnsi="Verdana"/>
          <w:sz w:val="15"/>
          <w:szCs w:val="15"/>
        </w:rPr>
        <w:t>,</w:t>
      </w:r>
      <w:r>
        <w:rPr>
          <w:rFonts w:ascii="Verdana" w:hAnsi="Verdana"/>
          <w:sz w:val="15"/>
          <w:szCs w:val="15"/>
        </w:rPr>
        <w:t xml:space="preserve"> виновная сторона несет имущественную ответственность в соответствии с действующим законодательством РФ.</w:t>
      </w:r>
    </w:p>
    <w:p w:rsidR="00864D39" w:rsidRDefault="00864D39" w:rsidP="0082494B">
      <w:pPr>
        <w:spacing w:before="100" w:beforeAutospacing="1" w:after="100" w:afterAutospacing="1"/>
      </w:pPr>
      <w:r>
        <w:rPr>
          <w:rFonts w:ascii="Verdana" w:hAnsi="Verdana"/>
          <w:sz w:val="15"/>
          <w:szCs w:val="15"/>
        </w:rPr>
        <w:t>3.2. Ненадлежащее исполнение договорных обязательств или отступление по вине Заказчика от условий Договора, позволяет  Поставщику изменить отпускную цену на Товар</w:t>
      </w:r>
      <w:r w:rsidR="00107A1A">
        <w:rPr>
          <w:rFonts w:ascii="Verdana" w:hAnsi="Verdana"/>
          <w:sz w:val="15"/>
          <w:szCs w:val="15"/>
        </w:rPr>
        <w:t>, для компенсации понесённых убытков</w:t>
      </w:r>
      <w:r>
        <w:rPr>
          <w:rFonts w:ascii="Verdana" w:hAnsi="Verdana"/>
          <w:sz w:val="15"/>
          <w:szCs w:val="15"/>
        </w:rPr>
        <w:t xml:space="preserve">, или </w:t>
      </w:r>
      <w:r w:rsidR="00F8501A">
        <w:rPr>
          <w:rFonts w:ascii="Verdana" w:hAnsi="Verdana"/>
          <w:sz w:val="15"/>
          <w:szCs w:val="15"/>
        </w:rPr>
        <w:t>может служить поводом для одностороннего расторжения договора Поставщиком.</w:t>
      </w:r>
    </w:p>
    <w:p w:rsidR="0082494B" w:rsidRPr="00E373D5" w:rsidRDefault="0082494B" w:rsidP="0082494B">
      <w:pPr>
        <w:spacing w:before="100" w:beforeAutospacing="1" w:after="100" w:afterAutospacing="1"/>
      </w:pPr>
      <w:r w:rsidRPr="00E373D5">
        <w:rPr>
          <w:rFonts w:ascii="Verdana" w:hAnsi="Verdana"/>
          <w:bCs/>
          <w:sz w:val="15"/>
          <w:szCs w:val="15"/>
        </w:rPr>
        <w:t xml:space="preserve">3.2.  В случае невозможности выполнения поручения Заказчика по каким либо независящим от </w:t>
      </w:r>
      <w:r w:rsidR="00F8501A" w:rsidRPr="00E373D5">
        <w:rPr>
          <w:rFonts w:ascii="Verdana" w:hAnsi="Verdana"/>
          <w:bCs/>
          <w:sz w:val="15"/>
          <w:szCs w:val="15"/>
        </w:rPr>
        <w:t>Поставщика</w:t>
      </w:r>
      <w:r w:rsidRPr="00E373D5">
        <w:rPr>
          <w:rFonts w:ascii="Verdana" w:hAnsi="Verdana"/>
          <w:bCs/>
          <w:sz w:val="15"/>
          <w:szCs w:val="15"/>
        </w:rPr>
        <w:t xml:space="preserve"> причинам или из-за действий третьих лиц, средства перечисленные в счет оплаты заказа возвращаются </w:t>
      </w:r>
      <w:r w:rsidR="00107A1A" w:rsidRPr="00E373D5">
        <w:rPr>
          <w:rFonts w:ascii="Verdana" w:hAnsi="Verdana"/>
          <w:bCs/>
          <w:sz w:val="15"/>
          <w:szCs w:val="15"/>
        </w:rPr>
        <w:t>Поставщиком</w:t>
      </w:r>
      <w:r w:rsidRPr="00E373D5">
        <w:rPr>
          <w:rFonts w:ascii="Verdana" w:hAnsi="Verdana"/>
          <w:bCs/>
          <w:sz w:val="15"/>
          <w:szCs w:val="15"/>
        </w:rPr>
        <w:t xml:space="preserve"> в полном объеме на расчетный счет, указанный Заказчиком. Об этом </w:t>
      </w:r>
      <w:r w:rsidR="00107A1A" w:rsidRPr="00E373D5">
        <w:rPr>
          <w:rFonts w:ascii="Verdana" w:hAnsi="Verdana"/>
          <w:bCs/>
          <w:sz w:val="15"/>
          <w:szCs w:val="15"/>
        </w:rPr>
        <w:t>Поставщик</w:t>
      </w:r>
      <w:r w:rsidR="00F34F4B">
        <w:rPr>
          <w:rFonts w:ascii="Verdana" w:hAnsi="Verdana"/>
          <w:bCs/>
          <w:sz w:val="15"/>
          <w:szCs w:val="15"/>
        </w:rPr>
        <w:t xml:space="preserve"> информирует Заказчика по</w:t>
      </w:r>
      <w:r w:rsidRPr="00E373D5">
        <w:rPr>
          <w:rFonts w:ascii="Verdana" w:hAnsi="Verdana"/>
          <w:bCs/>
          <w:sz w:val="15"/>
          <w:szCs w:val="15"/>
        </w:rPr>
        <w:t>средством электронной почты или другим доступным ему способом.</w:t>
      </w:r>
    </w:p>
    <w:p w:rsidR="00107A1A" w:rsidRDefault="0082494B" w:rsidP="0082494B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3.5. В случае возникновения форс-мажорных обстоятельств (стихийного бедствия, решений Правительства и др.), не поддающихся разумному контролю со стороны Исполнителя, приведших к тому, что условия Договора не могут быть выполнены, Исполнитель ответственности не несет.</w:t>
      </w:r>
    </w:p>
    <w:p w:rsidR="00810CF5" w:rsidRPr="00E373D5" w:rsidRDefault="00810CF5" w:rsidP="00810CF5">
      <w:pPr>
        <w:pStyle w:val="1"/>
        <w:shd w:val="clear" w:color="auto" w:fill="auto"/>
        <w:spacing w:before="0" w:after="172" w:line="190" w:lineRule="exact"/>
        <w:rPr>
          <w:rFonts w:ascii="Verdana" w:hAnsi="Verdana"/>
          <w:sz w:val="15"/>
          <w:szCs w:val="15"/>
        </w:rPr>
      </w:pPr>
    </w:p>
    <w:p w:rsidR="00810CF5" w:rsidRPr="00E373D5" w:rsidRDefault="00810CF5" w:rsidP="00810CF5">
      <w:pPr>
        <w:pStyle w:val="1"/>
        <w:widowControl w:val="0"/>
        <w:shd w:val="clear" w:color="auto" w:fill="auto"/>
        <w:spacing w:before="0" w:after="172" w:line="240" w:lineRule="auto"/>
        <w:jc w:val="center"/>
        <w:rPr>
          <w:rFonts w:ascii="Verdana" w:hAnsi="Verdana"/>
          <w:b/>
          <w:sz w:val="26"/>
          <w:szCs w:val="26"/>
        </w:rPr>
      </w:pPr>
      <w:r w:rsidRPr="00E373D5">
        <w:rPr>
          <w:rFonts w:ascii="Verdana" w:hAnsi="Verdana"/>
          <w:b/>
          <w:caps/>
          <w:sz w:val="26"/>
          <w:szCs w:val="26"/>
          <w:lang w:val="en-US"/>
        </w:rPr>
        <w:t>I</w:t>
      </w:r>
      <w:r w:rsidRPr="00E373D5">
        <w:rPr>
          <w:rFonts w:ascii="Verdana" w:hAnsi="Verdana"/>
          <w:b/>
          <w:caps/>
          <w:sz w:val="26"/>
          <w:szCs w:val="26"/>
        </w:rPr>
        <w:t>V.</w:t>
      </w:r>
      <w:r w:rsidRPr="00E373D5">
        <w:rPr>
          <w:rStyle w:val="Arial95pt"/>
          <w:rFonts w:ascii="Verdana" w:hAnsi="Verdana"/>
          <w:b/>
          <w:sz w:val="26"/>
          <w:szCs w:val="26"/>
        </w:rPr>
        <w:t xml:space="preserve"> СРОК ДЕЙСТВИЯ ДОГОВОРА</w:t>
      </w:r>
    </w:p>
    <w:p w:rsidR="00810CF5" w:rsidRPr="00E373D5" w:rsidRDefault="00E373D5" w:rsidP="00E373D5">
      <w:pPr>
        <w:pStyle w:val="1"/>
        <w:shd w:val="clear" w:color="auto" w:fill="auto"/>
        <w:tabs>
          <w:tab w:val="left" w:pos="1579"/>
        </w:tabs>
        <w:spacing w:before="0" w:after="0" w:line="230" w:lineRule="exact"/>
        <w:ind w:right="980"/>
        <w:jc w:val="both"/>
        <w:rPr>
          <w:rStyle w:val="Arial95pt"/>
          <w:rFonts w:ascii="Verdana" w:eastAsia="Times New Roman" w:hAnsi="Verdana" w:cs="Times New Roman"/>
          <w:sz w:val="15"/>
          <w:szCs w:val="15"/>
          <w:shd w:val="clear" w:color="auto" w:fill="auto"/>
        </w:rPr>
      </w:pPr>
      <w:r>
        <w:rPr>
          <w:rStyle w:val="Arial95pt"/>
          <w:rFonts w:ascii="Verdana" w:hAnsi="Verdana"/>
          <w:sz w:val="15"/>
          <w:szCs w:val="15"/>
        </w:rPr>
        <w:t xml:space="preserve">4.1. </w:t>
      </w:r>
      <w:r w:rsidR="00810CF5" w:rsidRPr="00E373D5">
        <w:rPr>
          <w:rStyle w:val="Arial95pt"/>
          <w:rFonts w:ascii="Verdana" w:hAnsi="Verdana"/>
          <w:sz w:val="15"/>
          <w:szCs w:val="15"/>
        </w:rPr>
        <w:t xml:space="preserve">Настоящий договор вступает в силу с момента его подписания сторонами и действует до "31" декабря 2014 г., а в случае, если к указанному моменту у сторон остались неисполненные </w:t>
      </w:r>
      <w:r w:rsidR="00810CF5" w:rsidRPr="00E373D5">
        <w:rPr>
          <w:rStyle w:val="Arial95pt"/>
          <w:rFonts w:ascii="Verdana" w:hAnsi="Verdana"/>
          <w:sz w:val="15"/>
          <w:szCs w:val="15"/>
        </w:rPr>
        <w:lastRenderedPageBreak/>
        <w:t>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810CF5" w:rsidRPr="00E373D5" w:rsidRDefault="00E373D5" w:rsidP="00E373D5">
      <w:pPr>
        <w:pStyle w:val="1"/>
        <w:shd w:val="clear" w:color="auto" w:fill="auto"/>
        <w:tabs>
          <w:tab w:val="left" w:pos="1579"/>
        </w:tabs>
        <w:spacing w:before="0" w:after="0" w:line="230" w:lineRule="exact"/>
        <w:ind w:right="980"/>
        <w:jc w:val="both"/>
        <w:rPr>
          <w:rFonts w:ascii="Verdana" w:hAnsi="Verdana"/>
          <w:sz w:val="15"/>
          <w:szCs w:val="15"/>
        </w:rPr>
      </w:pPr>
      <w:r>
        <w:rPr>
          <w:rStyle w:val="Arial95pt"/>
          <w:rFonts w:ascii="Verdana" w:hAnsi="Verdana"/>
          <w:sz w:val="15"/>
          <w:szCs w:val="15"/>
        </w:rPr>
        <w:t xml:space="preserve">4.2. </w:t>
      </w:r>
      <w:r w:rsidR="00810CF5" w:rsidRPr="00E373D5">
        <w:rPr>
          <w:rStyle w:val="Arial95pt"/>
          <w:rFonts w:ascii="Verdana" w:hAnsi="Verdana"/>
          <w:sz w:val="15"/>
          <w:szCs w:val="15"/>
        </w:rPr>
        <w:t>В случае если в течении 7 дней до окончания действия договора не одна из сторон не изъявила желание его расторгнуть, договор считается пролонгированным</w:t>
      </w:r>
      <w:r w:rsidRPr="00E373D5">
        <w:rPr>
          <w:rStyle w:val="Arial95pt"/>
          <w:rFonts w:ascii="Verdana" w:hAnsi="Verdana"/>
          <w:sz w:val="15"/>
          <w:szCs w:val="15"/>
        </w:rPr>
        <w:t xml:space="preserve"> на год.</w:t>
      </w:r>
    </w:p>
    <w:p w:rsidR="00810CF5" w:rsidRPr="00E373D5" w:rsidRDefault="00E373D5" w:rsidP="00E373D5">
      <w:pPr>
        <w:pStyle w:val="1"/>
        <w:shd w:val="clear" w:color="auto" w:fill="auto"/>
        <w:tabs>
          <w:tab w:val="left" w:pos="1558"/>
        </w:tabs>
        <w:spacing w:before="0" w:after="272" w:line="230" w:lineRule="exact"/>
        <w:ind w:right="980"/>
        <w:jc w:val="both"/>
        <w:rPr>
          <w:rFonts w:ascii="Verdana" w:hAnsi="Verdana"/>
          <w:sz w:val="15"/>
          <w:szCs w:val="15"/>
        </w:rPr>
      </w:pPr>
      <w:r>
        <w:rPr>
          <w:rStyle w:val="Arial95pt"/>
          <w:rFonts w:ascii="Verdana" w:hAnsi="Verdana"/>
          <w:sz w:val="15"/>
          <w:szCs w:val="15"/>
        </w:rPr>
        <w:t xml:space="preserve">4.3. </w:t>
      </w:r>
      <w:r w:rsidR="00810CF5" w:rsidRPr="00E373D5">
        <w:rPr>
          <w:rStyle w:val="Arial95pt"/>
          <w:rFonts w:ascii="Verdana" w:hAnsi="Verdana"/>
          <w:sz w:val="15"/>
          <w:szCs w:val="15"/>
        </w:rPr>
        <w:t>Договор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810CF5" w:rsidRPr="00107A1A" w:rsidRDefault="00810CF5" w:rsidP="0082494B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</w:p>
    <w:p w:rsidR="001B1DDF" w:rsidRPr="001B1DDF" w:rsidRDefault="001B1DDF" w:rsidP="001B1DDF">
      <w:pPr>
        <w:pStyle w:val="3"/>
        <w:jc w:val="center"/>
        <w:rPr>
          <w:rFonts w:ascii="Verdana" w:hAnsi="Verdana"/>
        </w:rPr>
      </w:pPr>
      <w:r w:rsidRPr="001B1DDF">
        <w:rPr>
          <w:rFonts w:ascii="Verdana" w:hAnsi="Verdana"/>
          <w:caps/>
        </w:rPr>
        <w:t>V. Юридические адреса сторон</w:t>
      </w:r>
    </w:p>
    <w:p w:rsidR="001B1DDF" w:rsidRPr="00A623FA" w:rsidRDefault="009A0679" w:rsidP="001B1DDF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ПОСТАВЩИК</w:t>
      </w:r>
      <w:r w:rsidR="001B1DDF" w:rsidRPr="00A623FA">
        <w:rPr>
          <w:rFonts w:ascii="Verdana" w:hAnsi="Verdana"/>
          <w:b/>
          <w:bCs/>
          <w:sz w:val="18"/>
          <w:szCs w:val="18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34"/>
        <w:gridCol w:w="2835"/>
        <w:gridCol w:w="6099"/>
      </w:tblGrid>
      <w:tr w:rsidR="001B1DDF" w:rsidRPr="00A623FA" w:rsidTr="001B1DDF">
        <w:trPr>
          <w:trHeight w:val="390"/>
        </w:trPr>
        <w:tc>
          <w:tcPr>
            <w:tcW w:w="94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9A0679" w:rsidRDefault="009A0679" w:rsidP="001B1D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A0679">
              <w:rPr>
                <w:rFonts w:ascii="Verdana" w:hAnsi="Verdana"/>
                <w:b/>
                <w:sz w:val="18"/>
                <w:szCs w:val="18"/>
              </w:rPr>
              <w:t>ООО «Лидер Дверной»</w:t>
            </w:r>
          </w:p>
          <w:p w:rsidR="001B1DDF" w:rsidRPr="009A0679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</w:p>
          <w:p w:rsidR="009A0679" w:rsidRPr="00107A1A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sz w:val="18"/>
                <w:szCs w:val="18"/>
              </w:rPr>
              <w:t>ИНН</w:t>
            </w:r>
            <w:r w:rsidRPr="00107A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7A1A" w:rsidRPr="00107A1A">
              <w:rPr>
                <w:rStyle w:val="20"/>
                <w:rFonts w:ascii="Verdana" w:hAnsi="Verdana"/>
                <w:sz w:val="18"/>
                <w:szCs w:val="18"/>
              </w:rPr>
              <w:t>7729686422</w:t>
            </w:r>
          </w:p>
          <w:p w:rsidR="009A0679" w:rsidRPr="00107A1A" w:rsidRDefault="009A0679" w:rsidP="001B1D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sz w:val="18"/>
                <w:szCs w:val="18"/>
              </w:rPr>
              <w:t xml:space="preserve">КПП </w:t>
            </w:r>
            <w:r w:rsidR="00107A1A" w:rsidRPr="00107A1A">
              <w:rPr>
                <w:rStyle w:val="20"/>
                <w:rFonts w:ascii="Verdana" w:hAnsi="Verdana"/>
                <w:sz w:val="18"/>
                <w:szCs w:val="18"/>
              </w:rPr>
              <w:t>772901001</w:t>
            </w:r>
          </w:p>
          <w:p w:rsidR="001B1DDF" w:rsidRPr="009A0679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</w:p>
          <w:p w:rsidR="001B1DDF" w:rsidRPr="00107A1A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sz w:val="18"/>
                <w:szCs w:val="18"/>
              </w:rPr>
              <w:t>ОГРН</w:t>
            </w:r>
            <w:r w:rsidRPr="00107A1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7A1A" w:rsidRPr="00107A1A">
              <w:rPr>
                <w:rStyle w:val="20"/>
                <w:rFonts w:ascii="Verdana" w:hAnsi="Verdana"/>
                <w:sz w:val="18"/>
                <w:szCs w:val="18"/>
              </w:rPr>
              <w:t>1117746536951</w:t>
            </w:r>
          </w:p>
          <w:p w:rsidR="001B1DDF" w:rsidRPr="009A0679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</w:p>
          <w:p w:rsidR="001B1DDF" w:rsidRPr="009A0679" w:rsidRDefault="001B1DDF" w:rsidP="001B1D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A0679">
              <w:rPr>
                <w:rFonts w:ascii="Verdana" w:hAnsi="Verdana"/>
                <w:b/>
                <w:sz w:val="18"/>
                <w:szCs w:val="18"/>
              </w:rPr>
              <w:t>Юридический адрес:</w:t>
            </w:r>
            <w:r w:rsidRPr="009A067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A0679" w:rsidRPr="009A0679">
              <w:rPr>
                <w:rFonts w:ascii="Verdana" w:hAnsi="Verdana"/>
                <w:sz w:val="18"/>
                <w:szCs w:val="18"/>
              </w:rPr>
              <w:t>143033, Московская область, Одинцовский район, п. Горки-2, д. 5, к. 11</w:t>
            </w:r>
          </w:p>
          <w:p w:rsidR="001B1DDF" w:rsidRPr="009A0679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</w:p>
          <w:p w:rsidR="001B1DDF" w:rsidRPr="009A0679" w:rsidRDefault="001B1DDF" w:rsidP="001B1DDF">
            <w:pPr>
              <w:rPr>
                <w:rFonts w:ascii="Verdana" w:hAnsi="Verdana"/>
                <w:sz w:val="18"/>
                <w:szCs w:val="18"/>
              </w:rPr>
            </w:pPr>
            <w:r w:rsidRPr="009A0679">
              <w:rPr>
                <w:rFonts w:ascii="Verdana" w:hAnsi="Verdana"/>
                <w:sz w:val="18"/>
                <w:szCs w:val="18"/>
              </w:rPr>
              <w:t xml:space="preserve">тел. </w:t>
            </w:r>
            <w:r w:rsidR="009A0679" w:rsidRPr="009A0679">
              <w:rPr>
                <w:rFonts w:ascii="Verdana" w:hAnsi="Verdana"/>
                <w:sz w:val="18"/>
                <w:szCs w:val="18"/>
              </w:rPr>
              <w:t xml:space="preserve">8-800-775-21-76, </w:t>
            </w:r>
            <w:r w:rsidR="009A0679" w:rsidRPr="009A0679">
              <w:rPr>
                <w:rStyle w:val="citycontent"/>
                <w:rFonts w:ascii="Verdana" w:hAnsi="Verdana"/>
                <w:sz w:val="18"/>
                <w:szCs w:val="18"/>
              </w:rPr>
              <w:t>+7 (495) 775-89-24</w:t>
            </w:r>
          </w:p>
          <w:p w:rsidR="001B1DDF" w:rsidRPr="00A623FA" w:rsidRDefault="001B1DDF" w:rsidP="009A06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1DDF" w:rsidRPr="00A623FA" w:rsidTr="001B1DDF">
        <w:trPr>
          <w:trHeight w:val="360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A623F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623FA">
              <w:rPr>
                <w:rFonts w:ascii="Verdana" w:hAnsi="Verdana"/>
                <w:sz w:val="18"/>
                <w:szCs w:val="18"/>
              </w:rPr>
              <w:t>Официальный веб-сайт: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9A0679" w:rsidRDefault="007072C9" w:rsidP="009A067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  <w:lang w:val="en-US"/>
              </w:rPr>
            </w:pPr>
            <w:hyperlink r:id="rId8" w:history="1">
              <w:r w:rsidR="009A0679" w:rsidRPr="008B1C01">
                <w:rPr>
                  <w:rStyle w:val="a3"/>
                  <w:rFonts w:ascii="Verdana" w:hAnsi="Verdana"/>
                  <w:sz w:val="18"/>
                  <w:szCs w:val="18"/>
                </w:rPr>
                <w:t>http://</w:t>
              </w:r>
              <w:r w:rsidR="009A0679" w:rsidRPr="008B1C01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dvernoylider.ru</w:t>
              </w:r>
            </w:hyperlink>
            <w:r w:rsidR="009A067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1B1DDF" w:rsidRPr="00A623FA" w:rsidTr="001B1DDF">
        <w:trPr>
          <w:trHeight w:val="285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A623F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623FA">
              <w:rPr>
                <w:rFonts w:ascii="Verdana" w:hAnsi="Verdana"/>
                <w:sz w:val="18"/>
                <w:szCs w:val="18"/>
              </w:rPr>
              <w:t>E-mail для переписки: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A623FA" w:rsidRDefault="009A067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u w:val="single"/>
                <w:lang w:val="en-US"/>
              </w:rPr>
              <w:t>info@dvernoylider.ru</w:t>
            </w:r>
          </w:p>
        </w:tc>
      </w:tr>
      <w:tr w:rsidR="001B1DDF" w:rsidRPr="00A623FA" w:rsidTr="001B1DDF">
        <w:trPr>
          <w:trHeight w:val="465"/>
        </w:trPr>
        <w:tc>
          <w:tcPr>
            <w:tcW w:w="33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A623F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623FA">
              <w:rPr>
                <w:rFonts w:ascii="Verdana" w:hAnsi="Verdana"/>
                <w:b/>
                <w:bCs/>
                <w:sz w:val="18"/>
                <w:szCs w:val="18"/>
              </w:rPr>
              <w:t>Платежные реквизиты: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A623F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623FA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1B1DDF" w:rsidRPr="00A623FA" w:rsidTr="001B1DDF">
        <w:trPr>
          <w:cantSplit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A623F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623FA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bCs/>
                <w:sz w:val="18"/>
                <w:szCs w:val="18"/>
              </w:rPr>
              <w:t>Наименование банка: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9A067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Style w:val="20"/>
                <w:rFonts w:ascii="Verdana" w:hAnsi="Verdana"/>
                <w:sz w:val="18"/>
                <w:szCs w:val="18"/>
              </w:rPr>
              <w:t>в филиале КБ «Альта-Банк» г. Красногорск</w:t>
            </w:r>
          </w:p>
        </w:tc>
      </w:tr>
      <w:tr w:rsidR="001B1DDF" w:rsidRPr="00A623FA" w:rsidTr="001B1DDF">
        <w:trPr>
          <w:cantSplit/>
        </w:trPr>
        <w:tc>
          <w:tcPr>
            <w:tcW w:w="0" w:type="auto"/>
            <w:vMerge/>
            <w:vAlign w:val="center"/>
          </w:tcPr>
          <w:p w:rsidR="001B1DDF" w:rsidRPr="00A623FA" w:rsidRDefault="001B1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bCs/>
                <w:sz w:val="18"/>
                <w:szCs w:val="18"/>
              </w:rPr>
              <w:t>Расчетный счет: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9A067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Style w:val="20"/>
                <w:rFonts w:ascii="Verdana" w:hAnsi="Verdana"/>
                <w:sz w:val="18"/>
                <w:szCs w:val="18"/>
              </w:rPr>
              <w:t>40702810300100006607</w:t>
            </w:r>
          </w:p>
        </w:tc>
      </w:tr>
      <w:tr w:rsidR="001B1DDF" w:rsidRPr="00A623FA" w:rsidTr="001B1DDF">
        <w:trPr>
          <w:cantSplit/>
        </w:trPr>
        <w:tc>
          <w:tcPr>
            <w:tcW w:w="0" w:type="auto"/>
            <w:vMerge/>
            <w:vAlign w:val="center"/>
          </w:tcPr>
          <w:p w:rsidR="001B1DDF" w:rsidRPr="00A623FA" w:rsidRDefault="001B1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bCs/>
                <w:sz w:val="18"/>
                <w:szCs w:val="18"/>
              </w:rPr>
              <w:t>БИК: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9A067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Cs/>
                <w:sz w:val="18"/>
                <w:szCs w:val="18"/>
              </w:rPr>
              <w:t>0445</w:t>
            </w:r>
            <w:r w:rsidRPr="00107A1A">
              <w:rPr>
                <w:rFonts w:ascii="Verdana" w:hAnsi="Verdana"/>
                <w:bCs/>
                <w:sz w:val="18"/>
                <w:szCs w:val="18"/>
                <w:lang w:val="en-US"/>
              </w:rPr>
              <w:t>83786</w:t>
            </w:r>
          </w:p>
        </w:tc>
      </w:tr>
      <w:tr w:rsidR="001B1DDF" w:rsidRPr="00A623FA" w:rsidTr="001B1DDF">
        <w:trPr>
          <w:cantSplit/>
        </w:trPr>
        <w:tc>
          <w:tcPr>
            <w:tcW w:w="0" w:type="auto"/>
            <w:vMerge/>
            <w:vAlign w:val="center"/>
          </w:tcPr>
          <w:p w:rsidR="001B1DDF" w:rsidRPr="00A623FA" w:rsidRDefault="001B1D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1B1DDF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b/>
                <w:bCs/>
                <w:sz w:val="18"/>
                <w:szCs w:val="18"/>
              </w:rPr>
              <w:t>Корреспондентский счет:</w:t>
            </w: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DF" w:rsidRPr="00107A1A" w:rsidRDefault="009A0679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107A1A">
              <w:rPr>
                <w:rFonts w:ascii="Verdana" w:hAnsi="Verdana"/>
                <w:sz w:val="18"/>
                <w:szCs w:val="18"/>
              </w:rPr>
              <w:t>30101810800000000786</w:t>
            </w:r>
          </w:p>
        </w:tc>
      </w:tr>
    </w:tbl>
    <w:p w:rsidR="001B1DDF" w:rsidRPr="001B1DDF" w:rsidRDefault="007072C9" w:rsidP="001B1DDF">
      <w:pPr>
        <w:rPr>
          <w:rFonts w:ascii="Verdana" w:hAnsi="Verdana"/>
        </w:rPr>
      </w:pPr>
      <w:r w:rsidRPr="007072C9"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sectPr w:rsidR="001B1DDF" w:rsidRPr="001B1DDF" w:rsidSect="00864D39">
      <w:footerReference w:type="even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1A" w:rsidRDefault="000E5F1A">
      <w:r>
        <w:separator/>
      </w:r>
    </w:p>
  </w:endnote>
  <w:endnote w:type="continuationSeparator" w:id="0">
    <w:p w:rsidR="000E5F1A" w:rsidRDefault="000E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A" w:rsidRDefault="007072C9" w:rsidP="00BB18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3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3FA" w:rsidRDefault="00A623FA" w:rsidP="001B1DD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A" w:rsidRDefault="007072C9" w:rsidP="00BB18E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3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F4B">
      <w:rPr>
        <w:rStyle w:val="a7"/>
        <w:noProof/>
      </w:rPr>
      <w:t>1</w:t>
    </w:r>
    <w:r>
      <w:rPr>
        <w:rStyle w:val="a7"/>
      </w:rPr>
      <w:fldChar w:fldCharType="end"/>
    </w:r>
  </w:p>
  <w:p w:rsidR="00A623FA" w:rsidRPr="001B1DDF" w:rsidRDefault="00A623FA" w:rsidP="001B1DDF">
    <w:pPr>
      <w:pStyle w:val="a6"/>
      <w:ind w:right="360"/>
      <w:jc w:val="center"/>
      <w:rPr>
        <w:rFonts w:ascii="Verdana" w:hAnsi="Verdana"/>
        <w:b/>
        <w:color w:val="C0C0C0"/>
        <w:sz w:val="16"/>
        <w:szCs w:val="16"/>
      </w:rPr>
    </w:pPr>
    <w:r w:rsidRPr="001B1DDF">
      <w:rPr>
        <w:rFonts w:ascii="Verdana" w:hAnsi="Verdana"/>
        <w:b/>
        <w:iCs/>
        <w:caps/>
        <w:color w:val="C0C0C0"/>
        <w:sz w:val="16"/>
        <w:szCs w:val="16"/>
      </w:rPr>
      <w:t xml:space="preserve">Договор публичной оферты </w:t>
    </w:r>
    <w:r w:rsidRPr="001B1DDF">
      <w:rPr>
        <w:rFonts w:ascii="Verdana" w:hAnsi="Verdana"/>
        <w:b/>
        <w:bCs/>
        <w:iCs/>
        <w:caps/>
        <w:color w:val="C0C0C0"/>
        <w:sz w:val="16"/>
        <w:szCs w:val="16"/>
      </w:rPr>
      <w:t>№</w:t>
    </w:r>
    <w:r w:rsidR="009A0679">
      <w:rPr>
        <w:rFonts w:ascii="Verdana" w:hAnsi="Verdana"/>
        <w:b/>
        <w:bCs/>
        <w:iCs/>
        <w:caps/>
        <w:color w:val="C0C0C0"/>
        <w:sz w:val="16"/>
        <w:szCs w:val="16"/>
      </w:rPr>
      <w:t>0</w:t>
    </w:r>
    <w:r w:rsidRPr="001B1DDF">
      <w:rPr>
        <w:rFonts w:ascii="Verdana" w:hAnsi="Verdana"/>
        <w:b/>
        <w:bCs/>
        <w:iCs/>
        <w:caps/>
        <w:color w:val="C0C0C0"/>
        <w:sz w:val="16"/>
        <w:szCs w:val="16"/>
      </w:rPr>
      <w:t>1/20</w:t>
    </w:r>
    <w:r w:rsidR="009A0679">
      <w:rPr>
        <w:rFonts w:ascii="Verdana" w:hAnsi="Verdana"/>
        <w:b/>
        <w:bCs/>
        <w:iCs/>
        <w:caps/>
        <w:color w:val="C0C0C0"/>
        <w:sz w:val="16"/>
        <w:szCs w:val="16"/>
      </w:rPr>
      <w:t>14</w:t>
    </w:r>
    <w:r>
      <w:rPr>
        <w:rFonts w:ascii="Verdana" w:hAnsi="Verdana"/>
        <w:b/>
        <w:bCs/>
        <w:iCs/>
        <w:caps/>
        <w:color w:val="C0C0C0"/>
        <w:sz w:val="16"/>
        <w:szCs w:val="16"/>
      </w:rPr>
      <w:t xml:space="preserve"> </w:t>
    </w:r>
    <w:r w:rsidR="009A0679">
      <w:rPr>
        <w:rFonts w:ascii="Verdana" w:hAnsi="Verdana"/>
        <w:b/>
        <w:bCs/>
        <w:iCs/>
        <w:caps/>
        <w:color w:val="C0C0C0"/>
        <w:sz w:val="16"/>
        <w:szCs w:val="16"/>
      </w:rPr>
      <w:t>ООО «Лидер Дверной»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1A" w:rsidRDefault="000E5F1A">
      <w:r>
        <w:separator/>
      </w:r>
    </w:p>
  </w:footnote>
  <w:footnote w:type="continuationSeparator" w:id="0">
    <w:p w:rsidR="000E5F1A" w:rsidRDefault="000E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984"/>
    <w:multiLevelType w:val="multilevel"/>
    <w:tmpl w:val="2D0EC39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DF"/>
    <w:rsid w:val="00004251"/>
    <w:rsid w:val="000062B1"/>
    <w:rsid w:val="00016481"/>
    <w:rsid w:val="00052E50"/>
    <w:rsid w:val="0006168F"/>
    <w:rsid w:val="00076D6B"/>
    <w:rsid w:val="00091D36"/>
    <w:rsid w:val="000A4109"/>
    <w:rsid w:val="000A6B13"/>
    <w:rsid w:val="000E5F1A"/>
    <w:rsid w:val="00106037"/>
    <w:rsid w:val="00107A1A"/>
    <w:rsid w:val="00123F47"/>
    <w:rsid w:val="00132BA3"/>
    <w:rsid w:val="00151701"/>
    <w:rsid w:val="001558EE"/>
    <w:rsid w:val="0015696C"/>
    <w:rsid w:val="0016254A"/>
    <w:rsid w:val="001657EC"/>
    <w:rsid w:val="001836F8"/>
    <w:rsid w:val="00184DD9"/>
    <w:rsid w:val="001B0F1D"/>
    <w:rsid w:val="001B1DDF"/>
    <w:rsid w:val="001B49FB"/>
    <w:rsid w:val="001D2BE8"/>
    <w:rsid w:val="001D6FB4"/>
    <w:rsid w:val="001D77FC"/>
    <w:rsid w:val="001F54C2"/>
    <w:rsid w:val="002217A0"/>
    <w:rsid w:val="00224791"/>
    <w:rsid w:val="00225CA9"/>
    <w:rsid w:val="00232040"/>
    <w:rsid w:val="0023426B"/>
    <w:rsid w:val="00237DF7"/>
    <w:rsid w:val="002468D2"/>
    <w:rsid w:val="00253382"/>
    <w:rsid w:val="00271478"/>
    <w:rsid w:val="002A0B47"/>
    <w:rsid w:val="002B4F10"/>
    <w:rsid w:val="002F2791"/>
    <w:rsid w:val="002F5AB8"/>
    <w:rsid w:val="00302429"/>
    <w:rsid w:val="0030332B"/>
    <w:rsid w:val="0030422E"/>
    <w:rsid w:val="00313EB1"/>
    <w:rsid w:val="00334BA9"/>
    <w:rsid w:val="003372FE"/>
    <w:rsid w:val="00361844"/>
    <w:rsid w:val="00365F83"/>
    <w:rsid w:val="003678B3"/>
    <w:rsid w:val="00371AA6"/>
    <w:rsid w:val="003B0FBE"/>
    <w:rsid w:val="003E465F"/>
    <w:rsid w:val="003F257E"/>
    <w:rsid w:val="00433B70"/>
    <w:rsid w:val="004379C0"/>
    <w:rsid w:val="0046776C"/>
    <w:rsid w:val="004848AD"/>
    <w:rsid w:val="004C61D6"/>
    <w:rsid w:val="004D2147"/>
    <w:rsid w:val="004D4DB1"/>
    <w:rsid w:val="004D6979"/>
    <w:rsid w:val="005222A1"/>
    <w:rsid w:val="0053769A"/>
    <w:rsid w:val="00552CBF"/>
    <w:rsid w:val="00564DF7"/>
    <w:rsid w:val="0057544F"/>
    <w:rsid w:val="005C045A"/>
    <w:rsid w:val="005C7B3A"/>
    <w:rsid w:val="005D10DA"/>
    <w:rsid w:val="005D5825"/>
    <w:rsid w:val="005E4EEF"/>
    <w:rsid w:val="005F0392"/>
    <w:rsid w:val="005F603C"/>
    <w:rsid w:val="00600C48"/>
    <w:rsid w:val="006138F7"/>
    <w:rsid w:val="00630015"/>
    <w:rsid w:val="00640983"/>
    <w:rsid w:val="00652982"/>
    <w:rsid w:val="00656713"/>
    <w:rsid w:val="00674F4C"/>
    <w:rsid w:val="006A7CC7"/>
    <w:rsid w:val="006C0650"/>
    <w:rsid w:val="006C543E"/>
    <w:rsid w:val="006C5792"/>
    <w:rsid w:val="006C69C8"/>
    <w:rsid w:val="006D04AE"/>
    <w:rsid w:val="006E3AFF"/>
    <w:rsid w:val="007072C9"/>
    <w:rsid w:val="00743634"/>
    <w:rsid w:val="00746076"/>
    <w:rsid w:val="00754FF1"/>
    <w:rsid w:val="00770048"/>
    <w:rsid w:val="00776278"/>
    <w:rsid w:val="00777978"/>
    <w:rsid w:val="007B4862"/>
    <w:rsid w:val="007C323B"/>
    <w:rsid w:val="0080046F"/>
    <w:rsid w:val="00810CF5"/>
    <w:rsid w:val="00816F63"/>
    <w:rsid w:val="0082494B"/>
    <w:rsid w:val="0082767F"/>
    <w:rsid w:val="00830A6D"/>
    <w:rsid w:val="00835BAF"/>
    <w:rsid w:val="008458CF"/>
    <w:rsid w:val="00864D39"/>
    <w:rsid w:val="00892B06"/>
    <w:rsid w:val="008B0D3E"/>
    <w:rsid w:val="008D2FFE"/>
    <w:rsid w:val="008E0DA0"/>
    <w:rsid w:val="008E63EA"/>
    <w:rsid w:val="008F03E5"/>
    <w:rsid w:val="00920112"/>
    <w:rsid w:val="00934FCF"/>
    <w:rsid w:val="00937428"/>
    <w:rsid w:val="00944825"/>
    <w:rsid w:val="00946CC9"/>
    <w:rsid w:val="00960084"/>
    <w:rsid w:val="00960C94"/>
    <w:rsid w:val="00965848"/>
    <w:rsid w:val="0098363F"/>
    <w:rsid w:val="00991B7E"/>
    <w:rsid w:val="009A0679"/>
    <w:rsid w:val="009C2242"/>
    <w:rsid w:val="009D537E"/>
    <w:rsid w:val="009D55A9"/>
    <w:rsid w:val="009D63A8"/>
    <w:rsid w:val="009D6868"/>
    <w:rsid w:val="00A1582A"/>
    <w:rsid w:val="00A25B3E"/>
    <w:rsid w:val="00A26806"/>
    <w:rsid w:val="00A26AAE"/>
    <w:rsid w:val="00A41C35"/>
    <w:rsid w:val="00A623FA"/>
    <w:rsid w:val="00A62C34"/>
    <w:rsid w:val="00A75FD8"/>
    <w:rsid w:val="00AC4FAF"/>
    <w:rsid w:val="00AD1242"/>
    <w:rsid w:val="00AD6E52"/>
    <w:rsid w:val="00AE6586"/>
    <w:rsid w:val="00AF0FB0"/>
    <w:rsid w:val="00AF6583"/>
    <w:rsid w:val="00B17369"/>
    <w:rsid w:val="00B3592E"/>
    <w:rsid w:val="00B44DE1"/>
    <w:rsid w:val="00B56816"/>
    <w:rsid w:val="00B768B8"/>
    <w:rsid w:val="00B8324C"/>
    <w:rsid w:val="00B835DF"/>
    <w:rsid w:val="00BA12E8"/>
    <w:rsid w:val="00BB18E0"/>
    <w:rsid w:val="00BB6A36"/>
    <w:rsid w:val="00BD1853"/>
    <w:rsid w:val="00BE1174"/>
    <w:rsid w:val="00C01D76"/>
    <w:rsid w:val="00C035AF"/>
    <w:rsid w:val="00C1781E"/>
    <w:rsid w:val="00C31B9F"/>
    <w:rsid w:val="00C40467"/>
    <w:rsid w:val="00C40732"/>
    <w:rsid w:val="00C672D3"/>
    <w:rsid w:val="00C830BB"/>
    <w:rsid w:val="00CB0099"/>
    <w:rsid w:val="00CC0D06"/>
    <w:rsid w:val="00CC68DD"/>
    <w:rsid w:val="00CD3E31"/>
    <w:rsid w:val="00CF4497"/>
    <w:rsid w:val="00D1004B"/>
    <w:rsid w:val="00D11F20"/>
    <w:rsid w:val="00D335E7"/>
    <w:rsid w:val="00D34661"/>
    <w:rsid w:val="00D362E3"/>
    <w:rsid w:val="00D67DA0"/>
    <w:rsid w:val="00D80F30"/>
    <w:rsid w:val="00DD14D9"/>
    <w:rsid w:val="00DF1716"/>
    <w:rsid w:val="00E22A82"/>
    <w:rsid w:val="00E274DB"/>
    <w:rsid w:val="00E373D5"/>
    <w:rsid w:val="00E46F99"/>
    <w:rsid w:val="00E50907"/>
    <w:rsid w:val="00E510EB"/>
    <w:rsid w:val="00E67320"/>
    <w:rsid w:val="00E70839"/>
    <w:rsid w:val="00E72BC3"/>
    <w:rsid w:val="00E74D8D"/>
    <w:rsid w:val="00E7609B"/>
    <w:rsid w:val="00ED599C"/>
    <w:rsid w:val="00F04E7A"/>
    <w:rsid w:val="00F07A68"/>
    <w:rsid w:val="00F34F4B"/>
    <w:rsid w:val="00F44C79"/>
    <w:rsid w:val="00F460F5"/>
    <w:rsid w:val="00F508B0"/>
    <w:rsid w:val="00F55182"/>
    <w:rsid w:val="00F667FA"/>
    <w:rsid w:val="00F77E7A"/>
    <w:rsid w:val="00F80CD9"/>
    <w:rsid w:val="00F8501A"/>
    <w:rsid w:val="00F95188"/>
    <w:rsid w:val="00FA0410"/>
    <w:rsid w:val="00FA0DAA"/>
    <w:rsid w:val="00FA223C"/>
    <w:rsid w:val="00FA57A6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2C9"/>
    <w:rPr>
      <w:sz w:val="24"/>
      <w:szCs w:val="24"/>
    </w:rPr>
  </w:style>
  <w:style w:type="paragraph" w:styleId="2">
    <w:name w:val="heading 2"/>
    <w:basedOn w:val="a"/>
    <w:qFormat/>
    <w:rsid w:val="001B1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B1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DDF"/>
    <w:rPr>
      <w:color w:val="D45C0D"/>
      <w:u w:val="single"/>
    </w:rPr>
  </w:style>
  <w:style w:type="paragraph" w:styleId="a4">
    <w:name w:val="Normal (Web)"/>
    <w:basedOn w:val="a"/>
    <w:rsid w:val="001B1DDF"/>
    <w:pPr>
      <w:spacing w:after="100" w:afterAutospacing="1"/>
    </w:pPr>
    <w:rPr>
      <w:rFonts w:ascii="Arial" w:hAnsi="Arial" w:cs="Arial"/>
      <w:sz w:val="11"/>
      <w:szCs w:val="11"/>
    </w:rPr>
  </w:style>
  <w:style w:type="character" w:styleId="a5">
    <w:name w:val="Strong"/>
    <w:basedOn w:val="a0"/>
    <w:qFormat/>
    <w:rsid w:val="001B1DDF"/>
    <w:rPr>
      <w:b/>
      <w:bCs/>
    </w:rPr>
  </w:style>
  <w:style w:type="paragraph" w:styleId="a6">
    <w:name w:val="footer"/>
    <w:basedOn w:val="a"/>
    <w:rsid w:val="001B1D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1DDF"/>
  </w:style>
  <w:style w:type="paragraph" w:styleId="a8">
    <w:name w:val="header"/>
    <w:basedOn w:val="a"/>
    <w:rsid w:val="001B1DDF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82494B"/>
    <w:pPr>
      <w:spacing w:after="100" w:afterAutospacing="1"/>
    </w:pPr>
    <w:rPr>
      <w:rFonts w:ascii="Arial" w:hAnsi="Arial" w:cs="Arial"/>
      <w:sz w:val="11"/>
      <w:szCs w:val="11"/>
    </w:rPr>
  </w:style>
  <w:style w:type="character" w:customStyle="1" w:styleId="citycontent">
    <w:name w:val="citycontent"/>
    <w:basedOn w:val="a0"/>
    <w:rsid w:val="009A0679"/>
  </w:style>
  <w:style w:type="character" w:customStyle="1" w:styleId="20">
    <w:name w:val="Основной текст (2)"/>
    <w:basedOn w:val="a0"/>
    <w:rsid w:val="009A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_"/>
    <w:basedOn w:val="a0"/>
    <w:link w:val="1"/>
    <w:rsid w:val="00810CF5"/>
    <w:rPr>
      <w:shd w:val="clear" w:color="auto" w:fill="FFFFFF"/>
    </w:rPr>
  </w:style>
  <w:style w:type="character" w:customStyle="1" w:styleId="Arial95pt">
    <w:name w:val="Основной текст + Arial;9;5 pt"/>
    <w:basedOn w:val="aa"/>
    <w:rsid w:val="00810CF5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a"/>
    <w:rsid w:val="00810CF5"/>
    <w:pPr>
      <w:shd w:val="clear" w:color="auto" w:fill="FFFFFF"/>
      <w:spacing w:before="120" w:after="24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rnoylider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01\Documents\kak_oplati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№1/2009 </vt:lpstr>
    </vt:vector>
  </TitlesOfParts>
  <Company/>
  <LinksUpToDate>false</LinksUpToDate>
  <CharactersWithSpaces>4596</CharactersWithSpaces>
  <SharedDoc>false</SharedDoc>
  <HLinks>
    <vt:vector size="108" baseType="variant">
      <vt:variant>
        <vt:i4>1572955</vt:i4>
      </vt:variant>
      <vt:variant>
        <vt:i4>51</vt:i4>
      </vt:variant>
      <vt:variant>
        <vt:i4>0</vt:i4>
      </vt:variant>
      <vt:variant>
        <vt:i4>5</vt:i4>
      </vt:variant>
      <vt:variant>
        <vt:lpwstr>http://infa24.webasyst.net/shop/</vt:lpwstr>
      </vt:variant>
      <vt:variant>
        <vt:lpwstr/>
      </vt:variant>
      <vt:variant>
        <vt:i4>1769538</vt:i4>
      </vt:variant>
      <vt:variant>
        <vt:i4>48</vt:i4>
      </vt:variant>
      <vt:variant>
        <vt:i4>0</vt:i4>
      </vt:variant>
      <vt:variant>
        <vt:i4>5</vt:i4>
      </vt:variant>
      <vt:variant>
        <vt:lpwstr>http://birga.ucoz.ru/</vt:lpwstr>
      </vt:variant>
      <vt:variant>
        <vt:lpwstr/>
      </vt:variant>
      <vt:variant>
        <vt:i4>2490412</vt:i4>
      </vt:variant>
      <vt:variant>
        <vt:i4>45</vt:i4>
      </vt:variant>
      <vt:variant>
        <vt:i4>0</vt:i4>
      </vt:variant>
      <vt:variant>
        <vt:i4>5</vt:i4>
      </vt:variant>
      <vt:variant>
        <vt:lpwstr>http://otipb.webasyst.net/shop/</vt:lpwstr>
      </vt:variant>
      <vt:variant>
        <vt:lpwstr/>
      </vt:variant>
      <vt:variant>
        <vt:i4>917576</vt:i4>
      </vt:variant>
      <vt:variant>
        <vt:i4>42</vt:i4>
      </vt:variant>
      <vt:variant>
        <vt:i4>0</vt:i4>
      </vt:variant>
      <vt:variant>
        <vt:i4>5</vt:i4>
      </vt:variant>
      <vt:variant>
        <vt:lpwstr>http://otipb.ucoz.ru/</vt:lpwstr>
      </vt:variant>
      <vt:variant>
        <vt:lpwstr/>
      </vt:variant>
      <vt:variant>
        <vt:i4>8126579</vt:i4>
      </vt:variant>
      <vt:variant>
        <vt:i4>39</vt:i4>
      </vt:variant>
      <vt:variant>
        <vt:i4>0</vt:i4>
      </vt:variant>
      <vt:variant>
        <vt:i4>5</vt:i4>
      </vt:variant>
      <vt:variant>
        <vt:lpwstr>http://infa24.ucoz.ru/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http://infa24.narod.ru/</vt:lpwstr>
      </vt:variant>
      <vt:variant>
        <vt:lpwstr/>
      </vt:variant>
      <vt:variant>
        <vt:i4>7077994</vt:i4>
      </vt:variant>
      <vt:variant>
        <vt:i4>33</vt:i4>
      </vt:variant>
      <vt:variant>
        <vt:i4>0</vt:i4>
      </vt:variant>
      <vt:variant>
        <vt:i4>5</vt:i4>
      </vt:variant>
      <vt:variant>
        <vt:lpwstr>http://inmarketinfo.ru/</vt:lpwstr>
      </vt:variant>
      <vt:variant>
        <vt:lpwstr/>
      </vt:variant>
      <vt:variant>
        <vt:i4>786478</vt:i4>
      </vt:variant>
      <vt:variant>
        <vt:i4>30</vt:i4>
      </vt:variant>
      <vt:variant>
        <vt:i4>0</vt:i4>
      </vt:variant>
      <vt:variant>
        <vt:i4>5</vt:i4>
      </vt:variant>
      <vt:variant>
        <vt:lpwstr>mailto:otipb@narod.ru</vt:lpwstr>
      </vt:variant>
      <vt:variant>
        <vt:lpwstr/>
      </vt:variant>
      <vt:variant>
        <vt:i4>4849787</vt:i4>
      </vt:variant>
      <vt:variant>
        <vt:i4>27</vt:i4>
      </vt:variant>
      <vt:variant>
        <vt:i4>0</vt:i4>
      </vt:variant>
      <vt:variant>
        <vt:i4>5</vt:i4>
      </vt:variant>
      <vt:variant>
        <vt:lpwstr>mailto:infa24@narod.ru</vt:lpwstr>
      </vt:variant>
      <vt:variant>
        <vt:lpwstr/>
      </vt:variant>
      <vt:variant>
        <vt:i4>1572955</vt:i4>
      </vt:variant>
      <vt:variant>
        <vt:i4>24</vt:i4>
      </vt:variant>
      <vt:variant>
        <vt:i4>0</vt:i4>
      </vt:variant>
      <vt:variant>
        <vt:i4>5</vt:i4>
      </vt:variant>
      <vt:variant>
        <vt:lpwstr>http://infa24.webasyst.net/shop/</vt:lpwstr>
      </vt:variant>
      <vt:variant>
        <vt:lpwstr/>
      </vt:variant>
      <vt:variant>
        <vt:i4>1769538</vt:i4>
      </vt:variant>
      <vt:variant>
        <vt:i4>21</vt:i4>
      </vt:variant>
      <vt:variant>
        <vt:i4>0</vt:i4>
      </vt:variant>
      <vt:variant>
        <vt:i4>5</vt:i4>
      </vt:variant>
      <vt:variant>
        <vt:lpwstr>http://birga.ucoz.ru/</vt:lpwstr>
      </vt:variant>
      <vt:variant>
        <vt:lpwstr/>
      </vt:variant>
      <vt:variant>
        <vt:i4>917576</vt:i4>
      </vt:variant>
      <vt:variant>
        <vt:i4>18</vt:i4>
      </vt:variant>
      <vt:variant>
        <vt:i4>0</vt:i4>
      </vt:variant>
      <vt:variant>
        <vt:i4>5</vt:i4>
      </vt:variant>
      <vt:variant>
        <vt:lpwstr>http://otipb.ucoz.ru/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http://infa24.ucoz.ru/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http://infa24.narod.ru/</vt:lpwstr>
      </vt:variant>
      <vt:variant>
        <vt:lpwstr/>
      </vt:variant>
      <vt:variant>
        <vt:i4>2490412</vt:i4>
      </vt:variant>
      <vt:variant>
        <vt:i4>9</vt:i4>
      </vt:variant>
      <vt:variant>
        <vt:i4>0</vt:i4>
      </vt:variant>
      <vt:variant>
        <vt:i4>5</vt:i4>
      </vt:variant>
      <vt:variant>
        <vt:lpwstr>http://otipb.webasyst.net/shop/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http://inmarketinfo.ru/</vt:lpwstr>
      </vt:variant>
      <vt:variant>
        <vt:lpwstr/>
      </vt:variant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../new_2.htm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../kak_oplatit.htm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№1/2009</dc:title>
  <dc:creator>1</dc:creator>
  <cp:lastModifiedBy>User01</cp:lastModifiedBy>
  <cp:revision>3</cp:revision>
  <cp:lastPrinted>2014-09-22T12:34:00Z</cp:lastPrinted>
  <dcterms:created xsi:type="dcterms:W3CDTF">2014-09-22T15:00:00Z</dcterms:created>
  <dcterms:modified xsi:type="dcterms:W3CDTF">2014-09-23T07:13:00Z</dcterms:modified>
</cp:coreProperties>
</file>